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i w:val="1"/>
          <w:sz w:val="60"/>
          <w:szCs w:val="60"/>
        </w:rPr>
      </w:pPr>
      <w:r w:rsidDel="00000000" w:rsidR="00000000" w:rsidRPr="00000000">
        <w:rPr>
          <w:i w:val="1"/>
          <w:sz w:val="60"/>
          <w:szCs w:val="60"/>
          <w:rtl w:val="0"/>
        </w:rPr>
        <w:t xml:space="preserve">Ответ: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“Солнце не просто светит днём, оно само создаёт день. Когда оно восходит и освещает землю, начинается день. А когда заходит - начинается ночь. Тогда-то и становятся видны звёзды, которые светят гораздо слабее Солнца.”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